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 w:val="0"/>
        <w:spacing w:beforeLines="50" w:afterLines="50" w:line="240" w:lineRule="auto"/>
        <w:ind w:firstLine="0" w:firstLineChars="0"/>
        <w:rPr>
          <w:rFonts w:ascii="宋体" w:hAnsi="宋体"/>
          <w:bCs/>
          <w:iCs/>
          <w:color w:val="000000"/>
          <w:sz w:val="18"/>
          <w:szCs w:val="18"/>
        </w:rPr>
      </w:pPr>
      <w:r>
        <w:rPr>
          <w:rFonts w:hint="eastAsia" w:ascii="宋体" w:hAnsi="宋体"/>
          <w:bCs/>
          <w:iCs/>
          <w:color w:val="000000"/>
          <w:sz w:val="18"/>
          <w:szCs w:val="18"/>
        </w:rPr>
        <w:t>证券代码：300498                                                                   证券简称：温氏股份</w:t>
      </w:r>
    </w:p>
    <w:p>
      <w:pPr>
        <w:widowControl w:val="0"/>
        <w:spacing w:beforeLines="50" w:afterLines="50" w:line="240" w:lineRule="auto"/>
        <w:ind w:firstLine="0" w:firstLineChars="0"/>
        <w:jc w:val="center"/>
        <w:rPr>
          <w:rFonts w:ascii="宋体" w:hAnsi="宋体"/>
          <w:b/>
          <w:bCs/>
          <w:iCs/>
          <w:color w:val="000000"/>
          <w:sz w:val="32"/>
          <w:szCs w:val="32"/>
        </w:rPr>
      </w:pPr>
      <w:r>
        <w:rPr>
          <w:rFonts w:hint="eastAsia" w:ascii="宋体" w:hAnsi="宋体"/>
          <w:b/>
          <w:bCs/>
          <w:iCs/>
          <w:color w:val="000000"/>
          <w:sz w:val="32"/>
          <w:szCs w:val="32"/>
        </w:rPr>
        <w:t>温氏食品集团股份有限公司投资者关系活动记录表</w:t>
      </w:r>
    </w:p>
    <w:p>
      <w:pPr>
        <w:widowControl w:val="0"/>
        <w:spacing w:line="240" w:lineRule="auto"/>
        <w:ind w:firstLine="0" w:firstLineChars="0"/>
        <w:rPr>
          <w:rFonts w:ascii="宋体" w:hAnsi="宋体"/>
          <w:bCs/>
          <w:iCs/>
          <w:color w:val="000000"/>
          <w:sz w:val="18"/>
          <w:szCs w:val="18"/>
        </w:rPr>
      </w:pPr>
      <w:r>
        <w:rPr>
          <w:rFonts w:hint="eastAsia" w:ascii="宋体" w:hAnsi="宋体"/>
          <w:bCs/>
          <w:iCs/>
          <w:color w:val="000000"/>
          <w:sz w:val="18"/>
          <w:szCs w:val="18"/>
        </w:rPr>
        <w:t xml:space="preserve">                                                                                           编号：2018035</w:t>
      </w:r>
    </w:p>
    <w:tbl>
      <w:tblPr>
        <w:tblStyle w:val="7"/>
        <w:tblW w:w="9627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28"/>
        <w:gridCol w:w="769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9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hd w:val="clear" w:color="auto" w:fill="FFFFFF"/>
              <w:spacing w:line="420" w:lineRule="exact"/>
              <w:ind w:firstLine="0" w:firstLineChars="0"/>
              <w:rPr>
                <w:rFonts w:ascii="宋体" w:hAnsi="宋体" w:cs="宋体"/>
                <w:szCs w:val="21"/>
                <w:shd w:val="clear" w:color="auto" w:fill="FFFFFF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Cs w:val="21"/>
                <w:shd w:val="clear" w:color="auto" w:fill="FFFFFF"/>
              </w:rPr>
              <w:t>投资者关系活动类别</w:t>
            </w:r>
          </w:p>
        </w:tc>
        <w:tc>
          <w:tcPr>
            <w:tcW w:w="76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hd w:val="clear" w:color="auto" w:fill="FFFFFF"/>
              <w:spacing w:line="420" w:lineRule="exact"/>
              <w:ind w:firstLine="0" w:firstLineChars="0"/>
              <w:rPr>
                <w:rFonts w:ascii="宋体" w:hAnsi="宋体" w:cs="宋体"/>
                <w:bCs/>
                <w:color w:val="000000"/>
                <w:kern w:val="0"/>
                <w:szCs w:val="21"/>
                <w:shd w:val="clear" w:color="auto" w:fill="FFFFFF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Cs w:val="21"/>
                <w:shd w:val="clear" w:color="auto" w:fill="FFFFFF"/>
              </w:rPr>
              <w:sym w:font="Wingdings 2" w:char="00A3"/>
            </w:r>
            <w:r>
              <w:rPr>
                <w:rFonts w:hint="eastAsia" w:ascii="宋体" w:hAnsi="宋体" w:cs="宋体"/>
                <w:bCs/>
                <w:color w:val="000000"/>
                <w:kern w:val="0"/>
                <w:szCs w:val="21"/>
                <w:shd w:val="clear" w:color="auto" w:fill="FFFFFF"/>
              </w:rPr>
              <w:t xml:space="preserve">特定对象调研        </w:t>
            </w:r>
            <w:r>
              <w:rPr>
                <w:rFonts w:hint="eastAsia" w:ascii="宋体" w:hAnsi="宋体" w:cs="宋体"/>
                <w:bCs/>
                <w:color w:val="000000"/>
                <w:kern w:val="0"/>
                <w:szCs w:val="21"/>
                <w:shd w:val="clear" w:color="auto" w:fill="FFFFFF"/>
              </w:rPr>
              <w:sym w:font="Wingdings 2" w:char="00A3"/>
            </w:r>
            <w:r>
              <w:rPr>
                <w:rFonts w:hint="eastAsia" w:ascii="宋体" w:hAnsi="宋体" w:cs="宋体"/>
                <w:bCs/>
                <w:color w:val="000000"/>
                <w:kern w:val="0"/>
                <w:szCs w:val="21"/>
                <w:shd w:val="clear" w:color="auto" w:fill="FFFFFF"/>
              </w:rPr>
              <w:t>分析师会议</w:t>
            </w:r>
          </w:p>
          <w:p>
            <w:pPr>
              <w:shd w:val="clear" w:color="auto" w:fill="FFFFFF"/>
              <w:spacing w:line="420" w:lineRule="exact"/>
              <w:ind w:firstLine="0" w:firstLineChars="0"/>
              <w:rPr>
                <w:rFonts w:ascii="宋体" w:hAnsi="宋体" w:cs="宋体"/>
                <w:bCs/>
                <w:color w:val="000000"/>
                <w:kern w:val="0"/>
                <w:szCs w:val="21"/>
                <w:shd w:val="clear" w:color="auto" w:fill="FFFFFF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Cs w:val="21"/>
                <w:shd w:val="clear" w:color="auto" w:fill="FFFFFF"/>
              </w:rPr>
              <w:sym w:font="Wingdings 2" w:char="00A3"/>
            </w:r>
            <w:r>
              <w:rPr>
                <w:rFonts w:hint="eastAsia" w:ascii="宋体" w:hAnsi="宋体" w:cs="宋体"/>
                <w:bCs/>
                <w:color w:val="000000"/>
                <w:kern w:val="0"/>
                <w:szCs w:val="21"/>
                <w:shd w:val="clear" w:color="auto" w:fill="FFFFFF"/>
              </w:rPr>
              <w:t xml:space="preserve">媒体采访            </w:t>
            </w:r>
            <w:r>
              <w:rPr>
                <w:rFonts w:hint="eastAsia" w:ascii="宋体" w:hAnsi="宋体" w:cs="宋体"/>
                <w:bCs/>
                <w:color w:val="000000"/>
                <w:kern w:val="0"/>
                <w:szCs w:val="21"/>
                <w:shd w:val="clear" w:color="auto" w:fill="FFFFFF"/>
              </w:rPr>
              <w:sym w:font="Wingdings 2" w:char="00A3"/>
            </w:r>
            <w:r>
              <w:rPr>
                <w:rFonts w:hint="eastAsia" w:ascii="宋体" w:hAnsi="宋体" w:cs="宋体"/>
                <w:bCs/>
                <w:color w:val="000000"/>
                <w:kern w:val="0"/>
                <w:szCs w:val="21"/>
                <w:shd w:val="clear" w:color="auto" w:fill="FFFFFF"/>
              </w:rPr>
              <w:t>业绩说明会</w:t>
            </w:r>
          </w:p>
          <w:p>
            <w:pPr>
              <w:shd w:val="clear" w:color="auto" w:fill="FFFFFF"/>
              <w:spacing w:line="420" w:lineRule="exact"/>
              <w:ind w:firstLine="0" w:firstLineChars="0"/>
              <w:rPr>
                <w:rFonts w:ascii="宋体" w:hAnsi="宋体" w:cs="宋体"/>
                <w:bCs/>
                <w:color w:val="000000"/>
                <w:kern w:val="0"/>
                <w:szCs w:val="21"/>
                <w:shd w:val="clear" w:color="auto" w:fill="FFFFFF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Cs w:val="21"/>
                <w:shd w:val="clear" w:color="auto" w:fill="FFFFFF"/>
              </w:rPr>
              <w:sym w:font="Wingdings 2" w:char="00A3"/>
            </w:r>
            <w:r>
              <w:rPr>
                <w:rFonts w:hint="eastAsia" w:ascii="宋体" w:hAnsi="宋体" w:cs="宋体"/>
                <w:bCs/>
                <w:color w:val="000000"/>
                <w:kern w:val="0"/>
                <w:szCs w:val="21"/>
                <w:shd w:val="clear" w:color="auto" w:fill="FFFFFF"/>
              </w:rPr>
              <w:t xml:space="preserve">新闻发布会           </w:t>
            </w:r>
            <w:r>
              <w:rPr>
                <w:rFonts w:hint="eastAsia" w:ascii="宋体" w:hAnsi="宋体" w:cs="宋体"/>
                <w:bCs/>
                <w:color w:val="000000"/>
                <w:kern w:val="0"/>
                <w:szCs w:val="21"/>
                <w:shd w:val="clear" w:color="auto" w:fill="FFFFFF"/>
              </w:rPr>
              <w:sym w:font="Wingdings 2" w:char="00A3"/>
            </w:r>
            <w:r>
              <w:rPr>
                <w:rFonts w:hint="eastAsia" w:ascii="宋体" w:hAnsi="宋体" w:cs="宋体"/>
                <w:bCs/>
                <w:color w:val="000000"/>
                <w:kern w:val="0"/>
                <w:szCs w:val="21"/>
                <w:shd w:val="clear" w:color="auto" w:fill="FFFFFF"/>
              </w:rPr>
              <w:t>路演活动</w:t>
            </w:r>
          </w:p>
          <w:p>
            <w:pPr>
              <w:shd w:val="clear" w:color="auto" w:fill="FFFFFF"/>
              <w:tabs>
                <w:tab w:val="center" w:pos="3199"/>
              </w:tabs>
              <w:spacing w:line="420" w:lineRule="exact"/>
              <w:ind w:firstLine="0" w:firstLineChars="0"/>
              <w:rPr>
                <w:rFonts w:ascii="宋体" w:hAnsi="宋体" w:cs="宋体"/>
                <w:szCs w:val="21"/>
                <w:u w:val="single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Cs w:val="21"/>
                <w:shd w:val="clear" w:color="auto" w:fill="FFFFFF"/>
              </w:rPr>
              <w:sym w:font="Wingdings 2" w:char="00A3"/>
            </w:r>
            <w:r>
              <w:rPr>
                <w:rFonts w:hint="eastAsia" w:ascii="宋体" w:hAnsi="宋体" w:cs="宋体"/>
                <w:bCs/>
                <w:color w:val="000000"/>
                <w:kern w:val="0"/>
                <w:szCs w:val="21"/>
                <w:shd w:val="clear" w:color="auto" w:fill="FFFFFF"/>
              </w:rPr>
              <w:t>现场参观</w:t>
            </w:r>
            <w:r>
              <w:rPr>
                <w:rFonts w:hint="eastAsia" w:ascii="宋体" w:hAnsi="宋体" w:cs="宋体"/>
                <w:bCs/>
                <w:color w:val="000000"/>
                <w:kern w:val="0"/>
                <w:szCs w:val="21"/>
                <w:shd w:val="clear" w:color="auto" w:fill="FFFFFF"/>
              </w:rPr>
              <w:tab/>
            </w:r>
          </w:p>
          <w:p>
            <w:pPr>
              <w:shd w:val="clear" w:color="auto" w:fill="FFFFFF"/>
              <w:tabs>
                <w:tab w:val="center" w:pos="3199"/>
              </w:tabs>
              <w:spacing w:line="420" w:lineRule="exact"/>
              <w:ind w:firstLine="0" w:firstLineChars="0"/>
              <w:rPr>
                <w:rFonts w:ascii="宋体" w:hAnsi="宋体" w:cs="宋体"/>
                <w:bCs/>
                <w:color w:val="000000"/>
                <w:kern w:val="0"/>
                <w:szCs w:val="21"/>
                <w:shd w:val="clear" w:color="auto" w:fill="FFFFFF"/>
              </w:rPr>
            </w:pPr>
            <w:r>
              <w:rPr>
                <w:rFonts w:hint="eastAsia" w:ascii="宋体" w:hAnsi="宋体" w:cs="宋体"/>
                <w:szCs w:val="21"/>
                <w:u w:val="single"/>
              </w:rPr>
              <w:sym w:font="Wingdings 2" w:char="0052"/>
            </w:r>
            <w:r>
              <w:rPr>
                <w:rFonts w:hint="eastAsia" w:ascii="宋体" w:hAnsi="宋体" w:cs="宋体"/>
                <w:szCs w:val="21"/>
                <w:u w:val="single"/>
              </w:rPr>
              <w:t xml:space="preserve">其他 （请文字说明其他活动内容）  广发证券2019研讨会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3" w:hRule="atLeast"/>
          <w:jc w:val="center"/>
        </w:trPr>
        <w:tc>
          <w:tcPr>
            <w:tcW w:w="19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hd w:val="clear" w:color="auto" w:fill="FFFFFF"/>
              <w:spacing w:line="420" w:lineRule="exact"/>
              <w:ind w:firstLine="0" w:firstLineChars="0"/>
              <w:rPr>
                <w:rFonts w:ascii="宋体" w:hAnsi="宋体" w:cs="宋体"/>
                <w:bCs/>
                <w:color w:val="0000FF"/>
                <w:kern w:val="0"/>
                <w:szCs w:val="21"/>
                <w:shd w:val="clear" w:color="auto" w:fill="FFFFFF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Cs w:val="21"/>
                <w:shd w:val="clear" w:color="auto" w:fill="FFFFFF"/>
              </w:rPr>
              <w:t>参与单位名称及人员姓名</w:t>
            </w:r>
          </w:p>
        </w:tc>
        <w:tc>
          <w:tcPr>
            <w:tcW w:w="76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tabs>
                <w:tab w:val="center" w:pos="3199"/>
              </w:tabs>
              <w:spacing w:line="560" w:lineRule="exact"/>
              <w:ind w:firstLine="0" w:firstLineChars="0"/>
              <w:rPr>
                <w:rFonts w:ascii="Calibri" w:hAnsi="Calibri" w:cs="Calibri"/>
                <w:b/>
                <w:bCs/>
                <w:color w:val="000000"/>
                <w:kern w:val="0"/>
                <w:szCs w:val="21"/>
                <w:shd w:val="clear" w:color="auto" w:fill="FFFFFF"/>
              </w:rPr>
            </w:pPr>
            <w:r>
              <w:rPr>
                <w:rFonts w:hint="eastAsia" w:ascii="宋体" w:hAnsi="宋体" w:cs="宋体"/>
                <w:szCs w:val="21"/>
              </w:rPr>
              <w:t>上投摩根-孟亮；东方资管-刘文杰、孙伟、王延飞、蔡志鹏；元大宝来投信-孙新铭；南方基金-邹寅隆；博时基金-董良泓；平安基金-张俊生；平安资管-万军；建信基金-王麟锴；毅木资产-祝俭；浙商基金-倪权生；融通基金-张鹏；银华基金-姚迪帆等50家券商、机构投资者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9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hd w:val="clear" w:color="auto" w:fill="FFFFFF"/>
              <w:spacing w:line="420" w:lineRule="exact"/>
              <w:ind w:firstLine="0" w:firstLineChars="0"/>
              <w:rPr>
                <w:rFonts w:ascii="宋体" w:hAnsi="宋体" w:cs="宋体"/>
                <w:bCs/>
                <w:color w:val="000000"/>
                <w:kern w:val="0"/>
                <w:szCs w:val="21"/>
                <w:shd w:val="clear" w:color="auto" w:fill="FFFFFF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Cs w:val="21"/>
                <w:shd w:val="clear" w:color="auto" w:fill="FFFFFF"/>
              </w:rPr>
              <w:t>时间</w:t>
            </w:r>
          </w:p>
        </w:tc>
        <w:tc>
          <w:tcPr>
            <w:tcW w:w="76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hd w:val="clear" w:color="auto" w:fill="FFFFFF"/>
              <w:spacing w:line="420" w:lineRule="exact"/>
              <w:ind w:firstLine="0" w:firstLineChars="0"/>
              <w:rPr>
                <w:rFonts w:ascii="宋体" w:hAnsi="宋体" w:cs="宋体"/>
                <w:bCs/>
                <w:color w:val="000000"/>
                <w:kern w:val="0"/>
                <w:szCs w:val="21"/>
                <w:shd w:val="clear" w:color="auto" w:fill="FFFFFF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Cs w:val="21"/>
                <w:shd w:val="clear" w:color="auto" w:fill="FFFFFF"/>
              </w:rPr>
              <w:t>2018年12月13日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9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hd w:val="clear" w:color="auto" w:fill="FFFFFF"/>
              <w:spacing w:line="420" w:lineRule="exact"/>
              <w:ind w:firstLine="0" w:firstLineChars="0"/>
              <w:rPr>
                <w:rFonts w:ascii="宋体" w:hAnsi="宋体" w:cs="宋体"/>
                <w:bCs/>
                <w:color w:val="000000"/>
                <w:kern w:val="0"/>
                <w:szCs w:val="21"/>
                <w:shd w:val="clear" w:color="auto" w:fill="FFFFFF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Cs w:val="21"/>
                <w:shd w:val="clear" w:color="auto" w:fill="FFFFFF"/>
              </w:rPr>
              <w:t>地点</w:t>
            </w:r>
          </w:p>
        </w:tc>
        <w:tc>
          <w:tcPr>
            <w:tcW w:w="76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hd w:val="clear" w:color="auto" w:fill="FFFFFF"/>
              <w:tabs>
                <w:tab w:val="center" w:pos="3199"/>
              </w:tabs>
              <w:spacing w:line="420" w:lineRule="exact"/>
              <w:ind w:firstLine="0" w:firstLineChars="0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Cs w:val="21"/>
                <w:shd w:val="clear" w:color="auto" w:fill="FFFFFF"/>
              </w:rPr>
              <w:t>成都群光君悦酒店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9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hd w:val="clear" w:color="auto" w:fill="FFFFFF"/>
              <w:spacing w:line="420" w:lineRule="exact"/>
              <w:ind w:firstLine="0" w:firstLineChars="0"/>
              <w:rPr>
                <w:rFonts w:ascii="宋体" w:hAnsi="宋体" w:cs="宋体"/>
                <w:bCs/>
                <w:color w:val="000000"/>
                <w:kern w:val="0"/>
                <w:szCs w:val="21"/>
                <w:shd w:val="clear" w:color="auto" w:fill="FFFFFF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Cs w:val="21"/>
                <w:shd w:val="clear" w:color="auto" w:fill="FFFFFF"/>
              </w:rPr>
              <w:t>上市公司接待人员姓名</w:t>
            </w:r>
          </w:p>
        </w:tc>
        <w:tc>
          <w:tcPr>
            <w:tcW w:w="76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hd w:val="clear" w:color="auto" w:fill="FFFFFF"/>
              <w:spacing w:line="420" w:lineRule="exact"/>
              <w:ind w:firstLine="0" w:firstLineChars="0"/>
              <w:rPr>
                <w:rFonts w:ascii="宋体" w:hAnsi="宋体" w:cs="宋体"/>
                <w:bCs/>
                <w:color w:val="000000"/>
                <w:kern w:val="0"/>
                <w:szCs w:val="21"/>
                <w:shd w:val="clear" w:color="auto" w:fill="FFFFFF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Cs w:val="21"/>
                <w:shd w:val="clear" w:color="auto" w:fill="FFFFFF"/>
              </w:rPr>
              <w:t>黄聪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9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hd w:val="clear" w:color="auto" w:fill="FFFFFF"/>
              <w:spacing w:line="420" w:lineRule="exact"/>
              <w:ind w:firstLine="0" w:firstLineChars="0"/>
              <w:rPr>
                <w:rFonts w:ascii="宋体" w:hAnsi="宋体" w:cs="宋体"/>
                <w:bCs/>
                <w:color w:val="000000"/>
                <w:kern w:val="0"/>
                <w:szCs w:val="21"/>
                <w:shd w:val="clear" w:color="auto" w:fill="FFFFFF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Cs w:val="21"/>
                <w:shd w:val="clear" w:color="auto" w:fill="FFFFFF"/>
              </w:rPr>
              <w:t>投资者关系活动主要内容介绍</w:t>
            </w:r>
          </w:p>
          <w:p>
            <w:pPr>
              <w:widowControl w:val="0"/>
              <w:spacing w:line="240" w:lineRule="auto"/>
              <w:ind w:firstLine="0" w:firstLineChars="0"/>
              <w:rPr>
                <w:rFonts w:ascii="宋体" w:hAnsi="宋体" w:cs="宋体"/>
                <w:bCs/>
                <w:iCs/>
                <w:color w:val="000000"/>
                <w:szCs w:val="21"/>
              </w:rPr>
            </w:pPr>
          </w:p>
        </w:tc>
        <w:tc>
          <w:tcPr>
            <w:tcW w:w="76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560" w:lineRule="exact"/>
              <w:ind w:firstLine="0" w:firstLineChars="0"/>
              <w:rPr>
                <w:rFonts w:ascii="宋体" w:hAnsi="宋体" w:cs="宋体"/>
                <w:bCs/>
                <w:color w:val="000000"/>
                <w:szCs w:val="21"/>
              </w:rPr>
            </w:pPr>
            <w:r>
              <w:rPr>
                <w:rFonts w:hint="eastAsia" w:ascii="宋体" w:hAnsi="宋体" w:cs="宋体"/>
                <w:b/>
                <w:color w:val="000000"/>
                <w:szCs w:val="21"/>
              </w:rPr>
              <w:t>Q&amp;A环节</w:t>
            </w:r>
          </w:p>
          <w:p>
            <w:pPr>
              <w:spacing w:line="560" w:lineRule="exact"/>
              <w:ind w:firstLine="0" w:firstLineChars="0"/>
              <w:rPr>
                <w:rFonts w:ascii="宋体" w:hAnsi="宋体" w:cs="宋体"/>
                <w:b/>
                <w:color w:val="000000"/>
                <w:szCs w:val="21"/>
              </w:rPr>
            </w:pPr>
            <w:r>
              <w:rPr>
                <w:rFonts w:hint="eastAsia" w:ascii="宋体" w:hAnsi="宋体" w:cs="宋体"/>
                <w:b/>
                <w:color w:val="000000"/>
                <w:szCs w:val="21"/>
              </w:rPr>
              <w:t>1、猪周期目前处于什么阶段，未来趋势怎样？</w:t>
            </w:r>
          </w:p>
          <w:p>
            <w:pPr>
              <w:spacing w:line="560" w:lineRule="exact"/>
              <w:ind w:firstLine="0" w:firstLineChars="0"/>
              <w:rPr>
                <w:rFonts w:ascii="宋体" w:hAnsi="宋体" w:cs="宋体"/>
                <w:bCs/>
                <w:color w:val="000000"/>
                <w:szCs w:val="21"/>
              </w:rPr>
            </w:pPr>
            <w:r>
              <w:rPr>
                <w:rFonts w:hint="eastAsia" w:ascii="宋体" w:hAnsi="宋体" w:cs="宋体"/>
                <w:bCs/>
                <w:color w:val="000000"/>
                <w:szCs w:val="21"/>
              </w:rPr>
              <w:t>答：从过往几轮猪周期来看，今年上半年二季度出现的低价区，已基本上可确认本轮周期的底部，并有中小散户主动去产能的行为。从公开的数据来看，能繁母猪存栏呈持续下降态势，近几个月有所加快；母猪价格、仔猪价格受8月以来非洲猪瘟疫情的影响，疫点发生较多的区域也在不断走低。初步判断，猪周期处于底部回升时期，未来猪价的走势，要根据各区域的产能情况、非洲猪瘟疫情的影响程度等进行动态评估，目前不好下定论。</w:t>
            </w:r>
          </w:p>
          <w:p>
            <w:pPr>
              <w:spacing w:line="560" w:lineRule="exact"/>
              <w:ind w:firstLine="0" w:firstLineChars="0"/>
              <w:rPr>
                <w:rFonts w:ascii="宋体" w:hAnsi="宋体" w:cs="宋体"/>
                <w:b/>
                <w:color w:val="000000"/>
                <w:szCs w:val="21"/>
              </w:rPr>
            </w:pPr>
            <w:r>
              <w:rPr>
                <w:rFonts w:hint="eastAsia" w:ascii="宋体" w:hAnsi="宋体" w:cs="宋体"/>
                <w:b/>
                <w:color w:val="000000"/>
                <w:szCs w:val="21"/>
              </w:rPr>
              <w:t>2、受非洲猪瘟疫情的影响，目前市场一些规模化企业也在调整产能，公司怎么看？</w:t>
            </w:r>
          </w:p>
          <w:p>
            <w:pPr>
              <w:spacing w:line="560" w:lineRule="exact"/>
              <w:ind w:firstLine="0" w:firstLineChars="0"/>
              <w:rPr>
                <w:rFonts w:ascii="宋体" w:hAnsi="宋体" w:cs="宋体"/>
                <w:bCs/>
                <w:color w:val="000000"/>
                <w:szCs w:val="21"/>
              </w:rPr>
            </w:pPr>
            <w:r>
              <w:rPr>
                <w:rFonts w:hint="eastAsia" w:ascii="宋体" w:hAnsi="宋体" w:cs="宋体"/>
                <w:bCs/>
                <w:color w:val="000000"/>
                <w:szCs w:val="21"/>
              </w:rPr>
              <w:t>答：发生非洲猪瘟以来，由于生猪调运受限，有些地方出现被动压栏现象，生产和销售影响较大，尤其是疫情数量较多的地区。判断猪周期要结合各区域的产能变化情况具体而定，部分规模化企业出于对防控疫情风险的谨慎考虑，如主动降低部分产能，属于正常的经营行为。</w:t>
            </w:r>
          </w:p>
          <w:p>
            <w:pPr>
              <w:spacing w:line="560" w:lineRule="exact"/>
              <w:ind w:firstLine="0" w:firstLineChars="0"/>
              <w:rPr>
                <w:rFonts w:ascii="宋体" w:hAnsi="宋体" w:cs="宋体"/>
                <w:b/>
                <w:color w:val="000000"/>
                <w:szCs w:val="21"/>
              </w:rPr>
            </w:pPr>
            <w:r>
              <w:rPr>
                <w:rFonts w:hint="eastAsia" w:ascii="宋体" w:hAnsi="宋体" w:cs="宋体"/>
                <w:b/>
                <w:color w:val="000000"/>
                <w:szCs w:val="21"/>
              </w:rPr>
              <w:t>3、非洲猪瘟对生产成本的影响有多大？</w:t>
            </w:r>
          </w:p>
          <w:p>
            <w:pPr>
              <w:spacing w:line="560" w:lineRule="exact"/>
              <w:ind w:firstLine="0" w:firstLineChars="0"/>
              <w:rPr>
                <w:rFonts w:ascii="宋体" w:hAnsi="宋体" w:cs="宋体"/>
                <w:bCs/>
                <w:color w:val="000000"/>
                <w:szCs w:val="21"/>
                <w:highlight w:val="yellow"/>
              </w:rPr>
            </w:pPr>
            <w:r>
              <w:rPr>
                <w:rFonts w:hint="eastAsia" w:ascii="宋体" w:hAnsi="宋体" w:cs="宋体"/>
                <w:bCs/>
                <w:color w:val="000000"/>
                <w:szCs w:val="21"/>
              </w:rPr>
              <w:t>答：自从今年8月份国家公布第一例非洲猪瘟疫情之后，公司迅速启动了应急响应，要求各单位将严防死守的工作落实到位。按照防疫要求，公司主要增加了构建新的生物安全体系的投入，包括基础设施和配套服务，分摊到每头肉猪的完全成本影响较小。</w:t>
            </w:r>
          </w:p>
          <w:p>
            <w:pPr>
              <w:spacing w:line="560" w:lineRule="exact"/>
              <w:ind w:firstLine="0" w:firstLineChars="0"/>
              <w:rPr>
                <w:rFonts w:ascii="宋体" w:hAnsi="宋体" w:cs="宋体"/>
                <w:b/>
                <w:color w:val="000000"/>
                <w:szCs w:val="21"/>
              </w:rPr>
            </w:pPr>
            <w:r>
              <w:rPr>
                <w:rFonts w:hint="eastAsia" w:ascii="宋体" w:hAnsi="宋体" w:cs="宋体"/>
                <w:b/>
                <w:color w:val="000000"/>
                <w:szCs w:val="21"/>
              </w:rPr>
              <w:t>4、调运政策会不会调整，有什么影响？</w:t>
            </w:r>
          </w:p>
          <w:p>
            <w:pPr>
              <w:spacing w:line="560" w:lineRule="exact"/>
              <w:ind w:firstLine="0" w:firstLineChars="0"/>
              <w:rPr>
                <w:rFonts w:ascii="宋体" w:hAnsi="宋体" w:cs="宋体"/>
                <w:bCs/>
                <w:color w:val="000000"/>
                <w:szCs w:val="21"/>
              </w:rPr>
            </w:pPr>
            <w:r>
              <w:rPr>
                <w:rFonts w:hint="eastAsia" w:ascii="宋体" w:hAnsi="宋体" w:cs="宋体"/>
                <w:bCs/>
                <w:color w:val="000000"/>
                <w:szCs w:val="21"/>
              </w:rPr>
              <w:t>答：从防控疫情的角度来看，生猪长途调运，尤其是运输车辆是传染风险点之一。从调猪到调肉是行业发展的主要趋势。近日召开的全国加强非洲猪瘟防控电视电话会议，强调要进一步完善防控机制，全面实施分区防控等措施。区域调运政策预计会有所调整，点对点调肉措施的完善，有望缓解主产区的压栏压力以及销区的供给压力。公司作为全国多个区域布局养猪的企业，前一阶段因防控疫情而压栏的生猪有望得到缓解，产区销售压力释放之后价格预计回升，而原来调入区相对进入新的供给平衡状态。</w:t>
            </w:r>
          </w:p>
          <w:p>
            <w:pPr>
              <w:spacing w:line="560" w:lineRule="exact"/>
              <w:ind w:firstLine="0" w:firstLineChars="0"/>
              <w:rPr>
                <w:rFonts w:ascii="宋体" w:hAnsi="宋体" w:cs="宋体"/>
                <w:b/>
                <w:color w:val="000000"/>
                <w:szCs w:val="21"/>
              </w:rPr>
            </w:pPr>
            <w:r>
              <w:rPr>
                <w:rFonts w:hint="eastAsia" w:ascii="宋体" w:hAnsi="宋体" w:cs="宋体"/>
                <w:b/>
                <w:color w:val="000000"/>
                <w:szCs w:val="21"/>
              </w:rPr>
              <w:t>5、生猪调入省的扩栏积极性如何，环保会不会放松？</w:t>
            </w:r>
          </w:p>
          <w:p>
            <w:pPr>
              <w:spacing w:line="560" w:lineRule="exact"/>
              <w:ind w:firstLine="0" w:firstLineChars="0"/>
              <w:rPr>
                <w:rFonts w:ascii="宋体" w:hAnsi="宋体" w:cs="宋体"/>
                <w:bCs/>
                <w:color w:val="000000"/>
                <w:szCs w:val="21"/>
              </w:rPr>
            </w:pPr>
            <w:r>
              <w:rPr>
                <w:rFonts w:hint="eastAsia" w:ascii="宋体" w:hAnsi="宋体" w:cs="宋体"/>
                <w:bCs/>
                <w:color w:val="000000"/>
                <w:szCs w:val="21"/>
              </w:rPr>
              <w:t>答：目前生猪调入省的投苗较为正常，但要再新建扩栏增加产能有难度。目前来看，环保土地要求不会放松。</w:t>
            </w:r>
          </w:p>
          <w:p>
            <w:pPr>
              <w:spacing w:line="560" w:lineRule="exact"/>
              <w:ind w:firstLine="0" w:firstLineChars="0"/>
              <w:rPr>
                <w:rFonts w:ascii="宋体" w:hAnsi="宋体" w:cs="宋体"/>
                <w:b/>
                <w:color w:val="000000"/>
                <w:szCs w:val="21"/>
              </w:rPr>
            </w:pPr>
            <w:r>
              <w:rPr>
                <w:rFonts w:hint="eastAsia" w:ascii="宋体" w:hAnsi="宋体" w:cs="宋体"/>
                <w:b/>
                <w:color w:val="000000"/>
                <w:szCs w:val="21"/>
              </w:rPr>
              <w:t>6、公司的发展计划是否会减缓？</w:t>
            </w:r>
          </w:p>
          <w:p>
            <w:pPr>
              <w:spacing w:line="560" w:lineRule="exact"/>
              <w:ind w:firstLine="0" w:firstLineChars="0"/>
              <w:rPr>
                <w:rFonts w:ascii="宋体" w:hAnsi="宋体" w:cs="宋体"/>
                <w:bCs/>
                <w:color w:val="000000"/>
                <w:szCs w:val="21"/>
              </w:rPr>
            </w:pPr>
            <w:r>
              <w:rPr>
                <w:rFonts w:hint="eastAsia" w:ascii="宋体" w:hAnsi="宋体" w:cs="宋体"/>
                <w:bCs/>
                <w:color w:val="000000"/>
                <w:szCs w:val="21"/>
              </w:rPr>
              <w:t>答：公司今年的肉猪产销计划将如期完成。公司</w:t>
            </w:r>
            <w:r>
              <w:rPr>
                <w:rFonts w:ascii="宋体" w:hAnsi="宋体" w:cs="宋体"/>
                <w:bCs/>
                <w:color w:val="000000"/>
                <w:szCs w:val="21"/>
              </w:rPr>
              <w:t>未来</w:t>
            </w:r>
            <w:r>
              <w:rPr>
                <w:rFonts w:hint="eastAsia" w:ascii="宋体" w:hAnsi="宋体" w:cs="宋体"/>
                <w:bCs/>
                <w:color w:val="000000"/>
                <w:szCs w:val="21"/>
              </w:rPr>
              <w:t>2年</w:t>
            </w:r>
            <w:r>
              <w:rPr>
                <w:rFonts w:ascii="宋体" w:hAnsi="宋体" w:cs="宋体"/>
                <w:bCs/>
                <w:color w:val="000000"/>
                <w:szCs w:val="21"/>
              </w:rPr>
              <w:t>的出栏计划</w:t>
            </w:r>
            <w:r>
              <w:rPr>
                <w:rFonts w:hint="eastAsia" w:ascii="宋体" w:hAnsi="宋体" w:cs="宋体"/>
                <w:bCs/>
                <w:color w:val="000000"/>
                <w:szCs w:val="21"/>
              </w:rPr>
              <w:t>暂时</w:t>
            </w:r>
            <w:r>
              <w:rPr>
                <w:rFonts w:ascii="宋体" w:hAnsi="宋体" w:cs="宋体"/>
                <w:bCs/>
                <w:color w:val="000000"/>
                <w:szCs w:val="21"/>
              </w:rPr>
              <w:t>没有改变。</w:t>
            </w:r>
            <w:r>
              <w:rPr>
                <w:rFonts w:hint="eastAsia" w:ascii="宋体" w:hAnsi="宋体" w:cs="宋体"/>
                <w:bCs/>
                <w:color w:val="000000"/>
                <w:szCs w:val="21"/>
              </w:rPr>
              <w:t>假如非洲猪瘟疫情的影</w:t>
            </w:r>
            <w:bookmarkStart w:id="0" w:name="_GoBack"/>
            <w:bookmarkEnd w:id="0"/>
            <w:r>
              <w:rPr>
                <w:rFonts w:hint="eastAsia" w:ascii="宋体" w:hAnsi="宋体" w:cs="宋体"/>
                <w:bCs/>
                <w:color w:val="000000"/>
                <w:szCs w:val="21"/>
              </w:rPr>
              <w:t>响程度持续加深，公司会对各区域的情况进行详细论证，假如未来因防控非洲猪瘟的需要，产销计划的实现略有偏差，我们认为属于正常范围。</w:t>
            </w:r>
          </w:p>
          <w:p>
            <w:pPr>
              <w:spacing w:line="560" w:lineRule="exact"/>
              <w:ind w:firstLine="0" w:firstLineChars="0"/>
              <w:rPr>
                <w:rFonts w:ascii="宋体" w:hAnsi="宋体" w:cs="宋体"/>
                <w:b/>
                <w:color w:val="000000"/>
                <w:szCs w:val="21"/>
              </w:rPr>
            </w:pPr>
            <w:r>
              <w:rPr>
                <w:rFonts w:hint="eastAsia" w:ascii="宋体" w:hAnsi="宋体" w:cs="宋体"/>
                <w:b/>
                <w:color w:val="000000"/>
                <w:szCs w:val="21"/>
              </w:rPr>
              <w:t>7、白鸡行情现在好，黄鸡是否持续，明年的黄鸡行情会怎样？</w:t>
            </w:r>
          </w:p>
          <w:p>
            <w:pPr>
              <w:spacing w:line="560" w:lineRule="exact"/>
              <w:ind w:firstLine="0" w:firstLineChars="0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宋体" w:hAnsi="宋体" w:cs="宋体"/>
                <w:bCs/>
                <w:color w:val="000000"/>
                <w:szCs w:val="21"/>
              </w:rPr>
              <w:t>答：黄鸡行情从去年四季度至今已经持续走好一年多时间，行业盈利</w:t>
            </w:r>
            <w:r>
              <w:rPr>
                <w:rFonts w:hint="eastAsia" w:ascii="宋体" w:hAnsi="宋体" w:cs="宋体"/>
                <w:bCs/>
                <w:color w:val="000000"/>
                <w:szCs w:val="21"/>
                <w:lang w:eastAsia="zh-CN"/>
              </w:rPr>
              <w:t>较高</w:t>
            </w:r>
            <w:r>
              <w:rPr>
                <w:rFonts w:hint="eastAsia" w:ascii="宋体" w:hAnsi="宋体" w:cs="宋体"/>
                <w:bCs/>
                <w:color w:val="000000"/>
                <w:szCs w:val="21"/>
              </w:rPr>
              <w:t>。预计明年会回归至合理水平，公司的计划基本上按合理的利润水平来规划，不会预算太高。</w:t>
            </w:r>
          </w:p>
          <w:p>
            <w:pPr>
              <w:spacing w:line="560" w:lineRule="exact"/>
              <w:ind w:firstLine="0" w:firstLineChars="0"/>
              <w:rPr>
                <w:rFonts w:ascii="宋体" w:hAnsi="宋体" w:cs="宋体"/>
                <w:bCs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9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spacing w:line="240" w:lineRule="auto"/>
              <w:ind w:firstLine="0" w:firstLineChars="0"/>
              <w:rPr>
                <w:rFonts w:ascii="宋体" w:hAnsi="宋体" w:cs="宋体"/>
                <w:bCs/>
                <w:iCs/>
                <w:color w:val="000000"/>
                <w:szCs w:val="21"/>
              </w:rPr>
            </w:pPr>
            <w:r>
              <w:rPr>
                <w:rFonts w:hint="eastAsia" w:ascii="宋体" w:hAnsi="宋体" w:cs="宋体"/>
                <w:bCs/>
                <w:iCs/>
                <w:color w:val="000000"/>
                <w:szCs w:val="21"/>
              </w:rPr>
              <w:t>附件清单（如有）</w:t>
            </w:r>
          </w:p>
        </w:tc>
        <w:tc>
          <w:tcPr>
            <w:tcW w:w="76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5"/>
              <w:shd w:val="clear" w:color="auto" w:fill="FFFFFF"/>
              <w:spacing w:before="0" w:beforeAutospacing="0" w:after="0" w:afterAutospacing="0" w:line="360" w:lineRule="auto"/>
              <w:ind w:firstLine="0" w:firstLineChars="0"/>
              <w:jc w:val="both"/>
              <w:rPr>
                <w:rFonts w:ascii="宋体" w:hAnsi="宋体" w:cs="宋体"/>
                <w:bCs/>
                <w:color w:val="000000"/>
                <w:sz w:val="21"/>
                <w:szCs w:val="21"/>
                <w:shd w:val="clear" w:color="auto" w:fill="FFFFFF"/>
              </w:rPr>
            </w:pPr>
            <w:r>
              <w:rPr>
                <w:rFonts w:hint="eastAsia" w:ascii="宋体" w:hAnsi="宋体" w:cs="宋体"/>
                <w:kern w:val="2"/>
                <w:sz w:val="21"/>
                <w:szCs w:val="21"/>
              </w:rPr>
              <w:t>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  <w:jc w:val="center"/>
        </w:trPr>
        <w:tc>
          <w:tcPr>
            <w:tcW w:w="19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spacing w:line="240" w:lineRule="auto"/>
              <w:ind w:firstLine="0" w:firstLineChars="0"/>
              <w:rPr>
                <w:rFonts w:ascii="宋体" w:hAnsi="宋体" w:cs="宋体"/>
                <w:bCs/>
                <w:iCs/>
                <w:color w:val="000000"/>
                <w:szCs w:val="21"/>
              </w:rPr>
            </w:pPr>
            <w:r>
              <w:rPr>
                <w:rFonts w:hint="eastAsia" w:ascii="宋体" w:hAnsi="宋体" w:cs="宋体"/>
                <w:bCs/>
                <w:iCs/>
                <w:color w:val="000000"/>
                <w:szCs w:val="21"/>
              </w:rPr>
              <w:t>日期</w:t>
            </w:r>
          </w:p>
        </w:tc>
        <w:tc>
          <w:tcPr>
            <w:tcW w:w="76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5"/>
              <w:shd w:val="clear" w:color="auto" w:fill="FFFFFF"/>
              <w:spacing w:before="0" w:beforeAutospacing="0" w:after="0" w:afterAutospacing="0" w:line="360" w:lineRule="auto"/>
              <w:ind w:firstLine="0" w:firstLineChars="0"/>
              <w:jc w:val="both"/>
              <w:rPr>
                <w:rFonts w:ascii="宋体" w:hAnsi="宋体" w:cs="宋体"/>
                <w:bCs/>
                <w:color w:val="000000"/>
                <w:sz w:val="21"/>
                <w:szCs w:val="21"/>
                <w:shd w:val="clear" w:color="auto" w:fill="FFFFFF"/>
              </w:rPr>
            </w:pPr>
            <w:r>
              <w:rPr>
                <w:rFonts w:hint="eastAsia" w:ascii="宋体" w:hAnsi="宋体" w:cs="宋体"/>
                <w:bCs/>
                <w:iCs/>
                <w:color w:val="000000"/>
                <w:kern w:val="2"/>
                <w:sz w:val="21"/>
                <w:szCs w:val="21"/>
              </w:rPr>
              <w:t>2018年12月14日</w:t>
            </w:r>
          </w:p>
        </w:tc>
      </w:tr>
    </w:tbl>
    <w:p>
      <w:pPr>
        <w:tabs>
          <w:tab w:val="left" w:pos="855"/>
        </w:tabs>
        <w:spacing w:line="240" w:lineRule="auto"/>
        <w:ind w:firstLine="0" w:firstLineChars="0"/>
        <w:rPr>
          <w:rFonts w:ascii="宋体" w:hAnsi="宋体"/>
          <w:color w:val="000000"/>
          <w:sz w:val="18"/>
          <w:szCs w:val="18"/>
        </w:rPr>
      </w:pPr>
    </w:p>
    <w:p>
      <w:pPr>
        <w:ind w:firstLine="420"/>
      </w:pP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5" w:h="16840"/>
      <w:pgMar w:top="1928" w:right="1247" w:bottom="1701" w:left="1247" w:header="720" w:footer="720" w:gutter="0"/>
      <w:cols w:space="720" w:num="1"/>
      <w:docGrid w:linePitch="286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DengXian">
    <w:altName w:val="宋体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DengXian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ind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ind w:firstLine="36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ind w:firstLine="360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0"/>
      </w:pBdr>
      <w:ind w:firstLine="360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ind w:firstLine="360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ind w:firstLine="360"/>
    </w:pPr>
  </w:p>
</w:hdr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DengXian Light"/>
        <a:ea typeface="黑体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DengXian"/>
        <a:ea typeface="宋体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